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656" w:right="0" w:hanging="720"/>
        <w:jc w:val="both"/>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2">
      <w:pPr>
        <w:keepNext w:val="1"/>
        <w:jc w:val="left"/>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16 (Benchmarking)</w:t>
      </w:r>
    </w:p>
    <w:p w:rsidR="00000000" w:rsidDel="00000000" w:rsidP="00000000" w:rsidRDefault="00000000" w:rsidRPr="00000000" w14:paraId="00000003">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DEFINITIONS</w:t>
      </w:r>
    </w:p>
    <w:p w:rsidR="00000000" w:rsidDel="00000000" w:rsidP="00000000" w:rsidRDefault="00000000" w:rsidRPr="00000000" w14:paraId="00000004">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expressions shall have the following meanings:</w:t>
      </w:r>
    </w:p>
    <w:tbl>
      <w:tblPr>
        <w:tblStyle w:val="Table1"/>
        <w:tblW w:w="8042.0" w:type="dxa"/>
        <w:jc w:val="left"/>
        <w:tblInd w:w="1008.0" w:type="dxa"/>
        <w:tblLayout w:type="fixed"/>
        <w:tblLook w:val="0400"/>
      </w:tblPr>
      <w:tblGrid>
        <w:gridCol w:w="2900"/>
        <w:gridCol w:w="5142"/>
        <w:tblGridChange w:id="0">
          <w:tblGrid>
            <w:gridCol w:w="2900"/>
            <w:gridCol w:w="5142"/>
          </w:tblGrid>
        </w:tblGridChange>
      </w:tblGrid>
      <w:tr>
        <w:trPr>
          <w:cantSplit w:val="0"/>
          <w:tblHeader w:val="0"/>
        </w:trPr>
        <w:tc>
          <w:tcPr>
            <w:shd w:fill="auto" w:val="clear"/>
          </w:tcPr>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"Benchmark Review"</w:t>
            </w:r>
          </w:p>
        </w:tc>
        <w:tc>
          <w:tcPr>
            <w:shd w:fill="auto" w:val="clear"/>
          </w:tcPr>
          <w:p w:rsidR="00000000" w:rsidDel="00000000" w:rsidP="00000000" w:rsidRDefault="00000000" w:rsidRPr="00000000" w14:paraId="0000000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review of the Deliverables carried out in accordance with this Schedule to determine whether those Deliverables represent Good Value;</w:t>
            </w:r>
          </w:p>
        </w:tc>
      </w:tr>
      <w:tr>
        <w:trPr>
          <w:cantSplit w:val="0"/>
          <w:tblHeader w:val="0"/>
        </w:trPr>
        <w:tc>
          <w:tcPr>
            <w:shd w:fill="auto" w:val="clear"/>
          </w:tcPr>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"Benchmarked Deliverables"</w:t>
            </w:r>
          </w:p>
        </w:tc>
        <w:tc>
          <w:tcPr>
            <w:shd w:fill="auto" w:val="clear"/>
          </w:tcPr>
          <w:p w:rsidR="00000000" w:rsidDel="00000000" w:rsidP="00000000" w:rsidRDefault="00000000" w:rsidRPr="00000000" w14:paraId="0000000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Deliverables included within the scope of a Benchmark Review pursuant to this Schedule;</w:t>
            </w:r>
          </w:p>
        </w:tc>
      </w:tr>
      <w:tr>
        <w:trPr>
          <w:cantSplit w:val="0"/>
          <w:tblHeader w:val="0"/>
        </w:trPr>
        <w:tc>
          <w:tcPr>
            <w:shd w:fill="auto" w:val="clear"/>
          </w:tcPr>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"Comparable Rates"</w:t>
            </w:r>
          </w:p>
        </w:tc>
        <w:tc>
          <w:tcPr>
            <w:shd w:fill="auto" w:val="clear"/>
          </w:tcPr>
          <w:p w:rsidR="00000000" w:rsidDel="00000000" w:rsidP="00000000" w:rsidRDefault="00000000" w:rsidRPr="00000000" w14:paraId="0000000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Charges for Comparable Deliverables;</w:t>
            </w:r>
          </w:p>
        </w:tc>
      </w:tr>
      <w:tr>
        <w:trPr>
          <w:cantSplit w:val="0"/>
          <w:tblHeader w:val="0"/>
        </w:trPr>
        <w:tc>
          <w:tcPr>
            <w:shd w:fill="auto" w:val="clear"/>
          </w:tcPr>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"Comparable Deliverables"</w:t>
            </w:r>
          </w:p>
        </w:tc>
        <w:tc>
          <w:tcPr>
            <w:shd w:fill="auto" w:val="clear"/>
          </w:tcPr>
          <w:p w:rsidR="00000000" w:rsidDel="00000000" w:rsidP="00000000" w:rsidRDefault="00000000" w:rsidRPr="00000000" w14:paraId="0000000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deliverables that are identical or materially similar to the Benchmarked Deliverables (including in terms of scope, specification, volume and quality of performance) provided that if no identical or materially similar Deliverables exist in the market, the Supplier shall propose an approach for developing a comparable Deliverables benchmark;</w:t>
            </w:r>
          </w:p>
        </w:tc>
      </w:tr>
      <w:tr>
        <w:trPr>
          <w:cantSplit w:val="0"/>
          <w:tblHeader w:val="0"/>
        </w:trPr>
        <w:tc>
          <w:tcPr>
            <w:shd w:fill="auto" w:val="clear"/>
          </w:tcPr>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"Comparison Group"</w:t>
            </w:r>
          </w:p>
        </w:tc>
        <w:tc>
          <w:tcPr>
            <w:shd w:fill="auto" w:val="clear"/>
          </w:tcPr>
          <w:p w:rsidR="00000000" w:rsidDel="00000000" w:rsidP="00000000" w:rsidRDefault="00000000" w:rsidRPr="00000000" w14:paraId="0000000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sample group of organisations providing Comparable Deliverables which consists of organisations which are either of similar size to the Supplier or which are similarly structured in terms of their business and their service offering so as to be fair comparators with the Supplier or which, are best practice organisations;</w:t>
            </w:r>
          </w:p>
        </w:tc>
      </w:tr>
      <w:tr>
        <w:trPr>
          <w:cantSplit w:val="0"/>
          <w:tblHeader w:val="0"/>
        </w:trPr>
        <w:tc>
          <w:tcPr>
            <w:shd w:fill="auto" w:val="clear"/>
          </w:tcPr>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"Equivalent Data"</w:t>
            </w:r>
          </w:p>
        </w:tc>
        <w:tc>
          <w:tcPr>
            <w:shd w:fill="auto" w:val="clear"/>
          </w:tcPr>
          <w:p w:rsidR="00000000" w:rsidDel="00000000" w:rsidP="00000000" w:rsidRDefault="00000000" w:rsidRPr="00000000" w14:paraId="0000001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data derived from an analysis of the Comparable Rates and/or the Comparable Deliverables (as applicable) provided by the Comparison Group;</w:t>
            </w:r>
          </w:p>
        </w:tc>
      </w:tr>
      <w:tr>
        <w:trPr>
          <w:cantSplit w:val="0"/>
          <w:tblHeader w:val="0"/>
        </w:trPr>
        <w:tc>
          <w:tcPr>
            <w:shd w:fill="auto" w:val="clear"/>
          </w:tcPr>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"Good Value"</w:t>
            </w:r>
          </w:p>
        </w:tc>
        <w:tc>
          <w:tcPr>
            <w:shd w:fill="auto" w:val="clear"/>
          </w:tcPr>
          <w:p w:rsidR="00000000" w:rsidDel="00000000" w:rsidP="00000000" w:rsidRDefault="00000000" w:rsidRPr="00000000" w14:paraId="0000001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that the Benchmarked Rates are within the Upper Quartile; and</w:t>
            </w:r>
          </w:p>
        </w:tc>
      </w:tr>
      <w:tr>
        <w:trPr>
          <w:cantSplit w:val="0"/>
          <w:tblHeader w:val="0"/>
        </w:trPr>
        <w:tc>
          <w:tcPr>
            <w:shd w:fill="auto" w:val="clear"/>
          </w:tcPr>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"Upper Quartile"</w:t>
            </w:r>
          </w:p>
        </w:tc>
        <w:tc>
          <w:tcPr>
            <w:shd w:fill="auto" w:val="clear"/>
          </w:tcPr>
          <w:p w:rsidR="00000000" w:rsidDel="00000000" w:rsidP="00000000" w:rsidRDefault="00000000" w:rsidRPr="00000000" w14:paraId="0000001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Benchmarked Rates, that based on an analysis of Equivalent Data, the Benchmarked Rates, as compared to the range of prices for Comparable Deliverables, are within the top 25% in terms of best value for money for the recipients of Comparable Deliverables.</w:t>
            </w:r>
          </w:p>
        </w:tc>
      </w:tr>
    </w:tbl>
    <w:p w:rsidR="00000000" w:rsidDel="00000000" w:rsidP="00000000" w:rsidRDefault="00000000" w:rsidRPr="00000000" w14:paraId="00000015">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When you should use this Schedule</w:t>
      </w:r>
      <w:r w:rsidDel="00000000" w:rsidR="00000000" w:rsidRPr="00000000">
        <w:rPr>
          <w:rtl w:val="0"/>
        </w:rPr>
      </w:r>
    </w:p>
    <w:p w:rsidR="00000000" w:rsidDel="00000000" w:rsidP="00000000" w:rsidRDefault="00000000" w:rsidRPr="00000000" w14:paraId="0000001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acknowledges that the Buyer wishes to ensure that the Deliverables, represent value for money to the taxpayer throughout the Contract Period.  </w:t>
      </w:r>
      <w:r w:rsidDel="00000000" w:rsidR="00000000" w:rsidRPr="00000000">
        <w:rPr>
          <w:rtl w:val="0"/>
        </w:rPr>
      </w:r>
    </w:p>
    <w:p w:rsidR="00000000" w:rsidDel="00000000" w:rsidP="00000000" w:rsidRDefault="00000000" w:rsidRPr="00000000" w14:paraId="0000001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Schedule sets to ensure the Contracts represent value for money throughout and that the Buyer may terminate the Contract by issuing a Termination Notice to the Supplier if the Supplier refuses or fails to comply with its obligations as set out in Paragraphs 3 of this Schedule.</w:t>
      </w:r>
    </w:p>
    <w:p w:rsidR="00000000" w:rsidDel="00000000" w:rsidP="00000000" w:rsidRDefault="00000000" w:rsidRPr="00000000" w14:paraId="0000001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Amounts payable under this Schedule shall not fall with the definition of a Cost.</w:t>
      </w:r>
    </w:p>
    <w:p w:rsidR="00000000" w:rsidDel="00000000" w:rsidP="00000000" w:rsidRDefault="00000000" w:rsidRPr="00000000" w14:paraId="00000019">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Benchmarking</w:t>
      </w:r>
    </w:p>
    <w:p w:rsidR="00000000" w:rsidDel="00000000" w:rsidP="00000000" w:rsidRDefault="00000000" w:rsidRPr="00000000" w14:paraId="0000001A">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benchmarking works</w:t>
      </w:r>
    </w:p>
    <w:p w:rsidR="00000000" w:rsidDel="00000000" w:rsidP="00000000" w:rsidRDefault="00000000" w:rsidRPr="00000000" w14:paraId="0000001B">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recognise that, where specified in Framework Schedule 4 (Framework Management), the Buyer may give CCS the right to enforce the Buyer's rights under this Schedule.</w:t>
      </w:r>
    </w:p>
    <w:p w:rsidR="00000000" w:rsidDel="00000000" w:rsidP="00000000" w:rsidRDefault="00000000" w:rsidRPr="00000000" w14:paraId="0000001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by written notice to the Supplier, require a Benchmark Review of any or all of the Deliverables.</w:t>
      </w:r>
    </w:p>
    <w:p w:rsidR="00000000" w:rsidDel="00000000" w:rsidP="00000000" w:rsidRDefault="00000000" w:rsidRPr="00000000" w14:paraId="0000001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not be entitled to request a Benchmark Review during the first six (6) Month period from the Contract Commencement Date or at intervals of less than twelve (12) Months after any previous Benchmark Review. </w:t>
      </w:r>
    </w:p>
    <w:p w:rsidR="00000000" w:rsidDel="00000000" w:rsidP="00000000" w:rsidRDefault="00000000" w:rsidRPr="00000000" w14:paraId="0000001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purpose of a Benchmark Review will be to establish whether the Benchmarked Deliverables are, individually and/or as a whole, Good Value.</w:t>
      </w:r>
    </w:p>
    <w:p w:rsidR="00000000" w:rsidDel="00000000" w:rsidP="00000000" w:rsidRDefault="00000000" w:rsidRPr="00000000" w14:paraId="0000001F">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Deliverables that are to be the Benchmarked Deliverables will be identified by the Buyer in writing.</w:t>
      </w:r>
    </w:p>
    <w:p w:rsidR="00000000" w:rsidDel="00000000" w:rsidP="00000000" w:rsidRDefault="00000000" w:rsidRPr="00000000" w14:paraId="0000002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Upon its request for a Benchmark Review the Buyer shall nominate a benchmarker.  The Supplier must approve the nomination within ten (10) Working Days unless the Supplier provides a reasonable explanation for rejecting the appointment.   If the appointment is rejected then the Buyer may propose an alternative benchmarker.  If the Parties cannot agree the appointment within twenty (20) days of the initial request for Benchmark review then a benchmarker shall be selected by the Chartered Institute of Financial Accountants. </w:t>
      </w:r>
    </w:p>
    <w:p w:rsidR="00000000" w:rsidDel="00000000" w:rsidP="00000000" w:rsidRDefault="00000000" w:rsidRPr="00000000" w14:paraId="0000002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cost of a benchmarker shall be borne by the Buyer (provided that each Party shall bear its own internal costs of the Benchmark Review) except where the Benchmark Review demonstrates that the Benchmarked Service and/or the Benchmarked Deliverables are not Good Value, in which case the Parties shall share the cost of the benchmarker in such proportions as the Parties agree (acting reasonably). Invoices by the benchmarker shall be raised against the Supplier and the relevant portion shall be reimbursed by the Buyer.</w:t>
      </w:r>
    </w:p>
    <w:p w:rsidR="00000000" w:rsidDel="00000000" w:rsidP="00000000" w:rsidRDefault="00000000" w:rsidRPr="00000000" w14:paraId="00000022">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Benchmarking Process</w:t>
      </w:r>
    </w:p>
    <w:p w:rsidR="00000000" w:rsidDel="00000000" w:rsidP="00000000" w:rsidRDefault="00000000" w:rsidRPr="00000000" w14:paraId="00000023">
      <w:pPr>
        <w:keepNext w:val="1"/>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benchmarker shall produce and send to the Buyer, for Approval, a draft plan for the Benchmark Review which must include:</w:t>
      </w:r>
    </w:p>
    <w:p w:rsidR="00000000" w:rsidDel="00000000" w:rsidP="00000000" w:rsidRDefault="00000000" w:rsidRPr="00000000" w14:paraId="00000024">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proposed cost and timetable for the Benchmark Review;</w:t>
      </w:r>
    </w:p>
    <w:p w:rsidR="00000000" w:rsidDel="00000000" w:rsidP="00000000" w:rsidRDefault="00000000" w:rsidRPr="00000000" w14:paraId="00000025">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description of the benchmarking methodology to be used which must demonstrate that the methodology to be used is capable of fulfilling the benchmarking purpose; and</w:t>
      </w:r>
    </w:p>
    <w:p w:rsidR="00000000" w:rsidDel="00000000" w:rsidP="00000000" w:rsidRDefault="00000000" w:rsidRPr="00000000" w14:paraId="00000026">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description of how the benchmarker will scope and identify the Comparison Group. </w:t>
      </w:r>
    </w:p>
    <w:p w:rsidR="00000000" w:rsidDel="00000000" w:rsidP="00000000" w:rsidRDefault="00000000" w:rsidRPr="00000000" w14:paraId="0000002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benchmarker, acting reasonably, shall be entitled to use any model to determine the achievement of value for money and to carry out the benchmarking. </w:t>
      </w:r>
    </w:p>
    <w:p w:rsidR="00000000" w:rsidDel="00000000" w:rsidP="00000000" w:rsidRDefault="00000000" w:rsidRPr="00000000" w14:paraId="0000002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must give notice in writing to the Supplier within ten (10) Working Days after receiving the draft plan, advising the benchmarker and the Supplier whether it Approves the draft plan, or, if it does not approve the draft plan, suggesting amendments to that plan (which must be reasonable). If amendments are suggested then the benchmarker must produce an amended draft plan and this Paragraph 3.2.3 shall apply to any amended draft plan.</w:t>
      </w:r>
    </w:p>
    <w:p w:rsidR="00000000" w:rsidDel="00000000" w:rsidP="00000000" w:rsidRDefault="00000000" w:rsidRPr="00000000" w14:paraId="0000002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Once both Parties have approved the draft plan then they will notify the benchmarker.  No Party may unreasonably withhold or delay its Approval of the draft plan.</w:t>
      </w:r>
    </w:p>
    <w:p w:rsidR="00000000" w:rsidDel="00000000" w:rsidP="00000000" w:rsidRDefault="00000000" w:rsidRPr="00000000" w14:paraId="0000002A">
      <w:pPr>
        <w:keepNext w:val="1"/>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Once it has received the Approval of the draft plan, the benchmarker shall:</w:t>
      </w:r>
    </w:p>
    <w:p w:rsidR="00000000" w:rsidDel="00000000" w:rsidP="00000000" w:rsidRDefault="00000000" w:rsidRPr="00000000" w14:paraId="0000002B">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finalise the Comparison Group and collect data relating to Comparable Rates. The selection of the Comparable Rates (both in terms of number and identity) shall be a matter for the Supplier's professional judgment using:</w:t>
      </w:r>
    </w:p>
    <w:p w:rsidR="00000000" w:rsidDel="00000000" w:rsidP="00000000" w:rsidRDefault="00000000" w:rsidRPr="00000000" w14:paraId="0000002C">
      <w:pPr>
        <w:keepNext w:val="0"/>
        <w:keepLines w:val="0"/>
        <w:pageBreakBefore w:val="0"/>
        <w:widowControl w:val="1"/>
        <w:numPr>
          <w:ilvl w:val="4"/>
          <w:numId w:val="2"/>
        </w:numPr>
        <w:pBdr>
          <w:top w:space="0" w:sz="0" w:val="nil"/>
          <w:left w:space="0" w:sz="0" w:val="nil"/>
          <w:bottom w:space="0" w:sz="0" w:val="nil"/>
          <w:right w:space="0" w:sz="0" w:val="nil"/>
          <w:between w:space="0" w:sz="0" w:val="nil"/>
        </w:pBdr>
        <w:shd w:fill="auto" w:val="clear"/>
        <w:tabs>
          <w:tab w:val="left" w:pos="3119"/>
        </w:tabs>
        <w:spacing w:after="120" w:before="120" w:line="240" w:lineRule="auto"/>
        <w:ind w:left="144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market intelligence;</w:t>
      </w:r>
    </w:p>
    <w:p w:rsidR="00000000" w:rsidDel="00000000" w:rsidP="00000000" w:rsidRDefault="00000000" w:rsidRPr="00000000" w14:paraId="0000002D">
      <w:pPr>
        <w:keepNext w:val="0"/>
        <w:keepLines w:val="0"/>
        <w:pageBreakBefore w:val="0"/>
        <w:widowControl w:val="1"/>
        <w:numPr>
          <w:ilvl w:val="4"/>
          <w:numId w:val="2"/>
        </w:numPr>
        <w:pBdr>
          <w:top w:space="0" w:sz="0" w:val="nil"/>
          <w:left w:space="0" w:sz="0" w:val="nil"/>
          <w:bottom w:space="0" w:sz="0" w:val="nil"/>
          <w:right w:space="0" w:sz="0" w:val="nil"/>
          <w:between w:space="0" w:sz="0" w:val="nil"/>
        </w:pBdr>
        <w:shd w:fill="auto" w:val="clear"/>
        <w:tabs>
          <w:tab w:val="left" w:pos="3119"/>
        </w:tabs>
        <w:spacing w:after="120" w:before="120" w:line="240" w:lineRule="auto"/>
        <w:ind w:left="144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benchmarker’s own data and experience;</w:t>
      </w:r>
    </w:p>
    <w:p w:rsidR="00000000" w:rsidDel="00000000" w:rsidP="00000000" w:rsidRDefault="00000000" w:rsidRPr="00000000" w14:paraId="0000002E">
      <w:pPr>
        <w:keepNext w:val="0"/>
        <w:keepLines w:val="0"/>
        <w:pageBreakBefore w:val="0"/>
        <w:widowControl w:val="1"/>
        <w:numPr>
          <w:ilvl w:val="4"/>
          <w:numId w:val="2"/>
        </w:numPr>
        <w:pBdr>
          <w:top w:space="0" w:sz="0" w:val="nil"/>
          <w:left w:space="0" w:sz="0" w:val="nil"/>
          <w:bottom w:space="0" w:sz="0" w:val="nil"/>
          <w:right w:space="0" w:sz="0" w:val="nil"/>
          <w:between w:space="0" w:sz="0" w:val="nil"/>
        </w:pBdr>
        <w:shd w:fill="auto" w:val="clear"/>
        <w:tabs>
          <w:tab w:val="left" w:pos="3119"/>
        </w:tabs>
        <w:spacing w:after="120" w:before="120" w:line="240" w:lineRule="auto"/>
        <w:ind w:left="144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relevant published information; and</w:t>
      </w:r>
    </w:p>
    <w:p w:rsidR="00000000" w:rsidDel="00000000" w:rsidP="00000000" w:rsidRDefault="00000000" w:rsidRPr="00000000" w14:paraId="0000002F">
      <w:pPr>
        <w:keepNext w:val="0"/>
        <w:keepLines w:val="0"/>
        <w:pageBreakBefore w:val="0"/>
        <w:widowControl w:val="1"/>
        <w:numPr>
          <w:ilvl w:val="4"/>
          <w:numId w:val="2"/>
        </w:numPr>
        <w:pBdr>
          <w:top w:space="0" w:sz="0" w:val="nil"/>
          <w:left w:space="0" w:sz="0" w:val="nil"/>
          <w:bottom w:space="0" w:sz="0" w:val="nil"/>
          <w:right w:space="0" w:sz="0" w:val="nil"/>
          <w:between w:space="0" w:sz="0" w:val="nil"/>
        </w:pBdr>
        <w:shd w:fill="auto" w:val="clear"/>
        <w:tabs>
          <w:tab w:val="left" w:pos="3119"/>
        </w:tabs>
        <w:spacing w:after="120" w:before="120" w:line="240" w:lineRule="auto"/>
        <w:ind w:left="1440" w:right="0" w:hanging="108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pursuant to Paragraph 3.2.6  below, information from other suppliers or purchasers on Comparable Rates;</w:t>
      </w:r>
    </w:p>
    <w:p w:rsidR="00000000" w:rsidDel="00000000" w:rsidP="00000000" w:rsidRDefault="00000000" w:rsidRPr="00000000" w14:paraId="00000030">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by applying the adjustment factors listed in Paragraph 3.2.7 and from an analysis of the Comparable Rates, derive the Equivalent Data;</w:t>
      </w:r>
    </w:p>
    <w:p w:rsidR="00000000" w:rsidDel="00000000" w:rsidP="00000000" w:rsidRDefault="00000000" w:rsidRPr="00000000" w14:paraId="00000031">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using the Equivalent Data, calculate the Upper Quartile;</w:t>
      </w:r>
    </w:p>
    <w:p w:rsidR="00000000" w:rsidDel="00000000" w:rsidP="00000000" w:rsidRDefault="00000000" w:rsidRPr="00000000" w14:paraId="00000032">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determine whether or not each Benchmarked Rate is, and/or the Benchmarked Rates as a whole are, Good Value.</w:t>
      </w:r>
    </w:p>
    <w:p w:rsidR="00000000" w:rsidDel="00000000" w:rsidP="00000000" w:rsidRDefault="00000000" w:rsidRPr="00000000" w14:paraId="00000033">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use all reasonable endeavours and act in good faith to supply information required by the benchmarker in order to undertake the benchmarking.  The Supplier agrees to use its reasonable endeavours to obtain information from other suppliers or purchasers on Comparable Rates.</w:t>
      </w:r>
    </w:p>
    <w:p w:rsidR="00000000" w:rsidDel="00000000" w:rsidP="00000000" w:rsidRDefault="00000000" w:rsidRPr="00000000" w14:paraId="00000034">
      <w:pPr>
        <w:keepNext w:val="1"/>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carrying out the benchmarking analysis the benchmarker may have regard to the following matters when performing a comparative assessment of the Benchmarked Rates and the Comparable Rates in order to derive Equivalent Data:</w:t>
      </w:r>
    </w:p>
    <w:p w:rsidR="00000000" w:rsidDel="00000000" w:rsidP="00000000" w:rsidRDefault="00000000" w:rsidRPr="00000000" w14:paraId="00000035">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contractual terms and business environment under which the Comparable Rates are being provided (including the scale and geographical spread of the customers);</w:t>
      </w:r>
    </w:p>
    <w:p w:rsidR="00000000" w:rsidDel="00000000" w:rsidP="00000000" w:rsidRDefault="00000000" w:rsidRPr="00000000" w14:paraId="00000036">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exchange rates;</w:t>
      </w:r>
    </w:p>
    <w:p w:rsidR="00000000" w:rsidDel="00000000" w:rsidP="00000000" w:rsidRDefault="00000000" w:rsidRPr="00000000" w14:paraId="00000037">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other factors reasonably identified by the Supplier, which, if not taken into consideration, could unfairly cause the Supplier's pricing to appear non-competitive.</w:t>
      </w:r>
    </w:p>
    <w:p w:rsidR="00000000" w:rsidDel="00000000" w:rsidP="00000000" w:rsidRDefault="00000000" w:rsidRPr="00000000" w14:paraId="00000038">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8" w:right="0" w:hanging="21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Benchmarking Report</w:t>
      </w:r>
    </w:p>
    <w:p w:rsidR="00000000" w:rsidDel="00000000" w:rsidP="00000000" w:rsidRDefault="00000000" w:rsidRPr="00000000" w14:paraId="0000003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purposes of this Schedule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"Benchmarking Report"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mean the report produced by the benchmarker following the Benchmark Review and as further described in this Schedule;</w:t>
      </w:r>
    </w:p>
    <w:p w:rsidR="00000000" w:rsidDel="00000000" w:rsidP="00000000" w:rsidRDefault="00000000" w:rsidRPr="00000000" w14:paraId="0000003A">
      <w:pPr>
        <w:keepNext w:val="1"/>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benchmarker shall prepare a Benchmarking Report and deliver it to the Buyer, at the time specified in the plan Approved pursuant to Paragraph 3.2.3, setting out its findings.  Those findings shall be required to:</w:t>
      </w:r>
    </w:p>
    <w:p w:rsidR="00000000" w:rsidDel="00000000" w:rsidP="00000000" w:rsidRDefault="00000000" w:rsidRPr="00000000" w14:paraId="0000003B">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include a finding as to whether or not a Benchmarked Service and/or whether the Benchmarked Deliverables as a whole are, Good Value;</w:t>
      </w:r>
    </w:p>
    <w:p w:rsidR="00000000" w:rsidDel="00000000" w:rsidP="00000000" w:rsidRDefault="00000000" w:rsidRPr="00000000" w14:paraId="0000003C">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of the Benchmarked Deliverables are, individually or as a whole, not Good Value, specify the changes that would be required to make that Benchmarked Service or the Benchmarked Deliverables as a whole Good Value; and </w:t>
      </w:r>
    </w:p>
    <w:p w:rsidR="00000000" w:rsidDel="00000000" w:rsidP="00000000" w:rsidRDefault="00000000" w:rsidRPr="00000000" w14:paraId="0000003D">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include sufficient detail and transparency so that the Party requesting the Benchmarking can interpret and understand how the Supplier has calculated whether or not the Benchmarked Deliverables are, individually or as a whole, Good Value.</w:t>
      </w:r>
    </w:p>
    <w:p w:rsidR="00000000" w:rsidDel="00000000" w:rsidP="00000000" w:rsidRDefault="00000000" w:rsidRPr="00000000" w14:paraId="0000003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that any changes required to this Contract identified in the Benchmarking Report shall be implemented at the direction of the Buyer in accordance with Clause 24 (Changing the contract).</w:t>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5">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7">
    <w:pPr>
      <w:tabs>
        <w:tab w:val="center" w:pos="4513"/>
        <w:tab w:val="right" w:pos="9026"/>
      </w:tabs>
      <w:spacing w:after="0" w:lineRule="auto"/>
      <w:rPr/>
    </w:pPr>
    <w:r w:rsidDel="00000000" w:rsidR="00000000" w:rsidRPr="00000000">
      <w:rPr>
        <w:rFonts w:ascii="Arial" w:cs="Arial" w:eastAsia="Arial" w:hAnsi="Arial"/>
        <w:sz w:val="20"/>
        <w:szCs w:val="20"/>
        <w:rtl w:val="0"/>
      </w:rPr>
      <w:t xml:space="preserve">Model Version: v3.0</w:t>
      <w:tab/>
    </w:r>
    <w:r w:rsidDel="00000000" w:rsidR="00000000" w:rsidRPr="00000000">
      <w:rPr>
        <w:rtl w:val="0"/>
      </w:rPr>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8">
    <w:pPr>
      <w:tabs>
        <w:tab w:val="center" w:pos="4513"/>
        <w:tab w:val="right" w:pos="9026"/>
      </w:tabs>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49">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RM6278</w:t>
    </w:r>
  </w:p>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B">
    <w:pPr>
      <w:tabs>
        <w:tab w:val="center" w:pos="4513"/>
        <w:tab w:val="right" w:pos="9026"/>
      </w:tabs>
      <w:spacing w:after="0" w:lineRule="auto"/>
      <w:rPr/>
    </w:pPr>
    <w:r w:rsidDel="00000000" w:rsidR="00000000" w:rsidRPr="00000000">
      <w:rPr>
        <w:rFonts w:ascii="Arial" w:cs="Arial" w:eastAsia="Arial" w:hAnsi="Arial"/>
        <w:sz w:val="20"/>
        <w:szCs w:val="20"/>
        <w:rtl w:val="0"/>
      </w:rPr>
      <w:t xml:space="preserve">Model Version: v3.2</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5714365</wp:posOffset>
          </wp:positionH>
          <wp:positionV relativeFrom="paragraph">
            <wp:posOffset>-13333</wp:posOffset>
          </wp:positionV>
          <wp:extent cx="849085" cy="685627"/>
          <wp:effectExtent b="0" l="0" r="0" t="0"/>
          <wp:wrapNone/>
          <wp:docPr descr="Crown Commercial Service" id="3" name="image1.png"/>
          <a:graphic>
            <a:graphicData uri="http://schemas.openxmlformats.org/drawingml/2006/picture">
              <pic:pic>
                <pic:nvPicPr>
                  <pic:cNvPr descr="Crown Commercial Service" id="0" name="image1.png"/>
                  <pic:cNvPicPr preferRelativeResize="0"/>
                </pic:nvPicPr>
                <pic:blipFill>
                  <a:blip r:embed="rId1"/>
                  <a:srcRect b="0" l="0" r="0" t="0"/>
                  <a:stretch>
                    <a:fillRect/>
                  </a:stretch>
                </pic:blipFill>
                <pic:spPr>
                  <a:xfrm>
                    <a:off x="0" y="0"/>
                    <a:ext cx="849085" cy="685627"/>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16 (Benchmarking)</w:t>
    </w:r>
    <w:r w:rsidDel="00000000" w:rsidR="00000000" w:rsidRPr="00000000">
      <w:rPr>
        <w:rtl w:val="0"/>
      </w:rPr>
    </w:r>
  </w:p>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w:t>
    </w:r>
  </w:p>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rFonts w:ascii="Arial" w:cs="Arial" w:eastAsia="Arial" w:hAnsi="Arial"/>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9.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563"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jc w:val="both"/>
      <w:textAlignment w:val="baseline"/>
    </w:pPr>
    <w:rPr>
      <w:rFonts w:ascii="Calibri" w:cs="Arial" w:eastAsia="Times New Roman"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link w:val="GPSL1CLAUSEHEADINGChar"/>
    <w:uiPriority w:val="99"/>
    <w:qFormat w:val="1"/>
    <w:pPr>
      <w:numPr>
        <w:numId w:val="2"/>
      </w:numPr>
      <w:tabs>
        <w:tab w:val="left" w:pos="142"/>
      </w:tabs>
      <w:overflowPunct w:val="1"/>
      <w:autoSpaceDE w:val="1"/>
      <w:autoSpaceDN w:val="1"/>
      <w:spacing w:before="120"/>
      <w:ind w:left="426" w:hanging="426"/>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numPr>
        <w:ilvl w:val="2"/>
        <w:numId w:val="2"/>
      </w:numPr>
      <w:tabs>
        <w:tab w:val="left" w:pos="1985"/>
      </w:tabs>
      <w:overflowPunct w:val="1"/>
      <w:autoSpaceDE w:val="1"/>
      <w:autoSpaceDN w:val="1"/>
      <w:spacing w:after="120" w:before="120"/>
      <w:ind w:left="1656"/>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clear" w:pos="1985"/>
      </w:tabs>
      <w:ind w:left="2592" w:hanging="936"/>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link w:val="GPSL5numberedclauseChar"/>
    <w:qFormat w:val="1"/>
    <w:pPr>
      <w:numPr>
        <w:ilvl w:val="4"/>
      </w:numPr>
      <w:tabs>
        <w:tab w:val="left" w:pos="3119"/>
      </w:tabs>
      <w:ind w:left="3119" w:hanging="567"/>
    </w:pPr>
  </w:style>
  <w:style w:type="paragraph" w:styleId="GPSL2NumberedBoldHeading" w:customStyle="1">
    <w:name w:val="GPS L2 Numbered Bold Heading"/>
    <w:basedOn w:val="Normal"/>
    <w:link w:val="GPSL2NumberedBoldHeadingChar"/>
    <w:qFormat w:val="1"/>
    <w:pPr>
      <w:numPr>
        <w:ilvl w:val="1"/>
        <w:numId w:val="2"/>
      </w:numPr>
      <w:tabs>
        <w:tab w:val="left" w:pos="1134"/>
      </w:tabs>
      <w:overflowPunct w:val="1"/>
      <w:autoSpaceDE w:val="1"/>
      <w:autoSpaceDN w:val="1"/>
      <w:spacing w:after="120" w:before="120"/>
      <w:ind w:hanging="218"/>
      <w:textAlignment w:val="auto"/>
    </w:pPr>
    <w:rPr>
      <w:b w:val="1"/>
      <w:lang w:eastAsia="zh-CN"/>
    </w:rPr>
  </w:style>
  <w:style w:type="paragraph" w:styleId="GPSL6numbered" w:customStyle="1">
    <w:name w:val="GPS L6 numbered"/>
    <w:basedOn w:val="GPSL5numberedclause"/>
    <w:uiPriority w:val="99"/>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paragraph" w:styleId="GPsDefinition" w:customStyle="1">
    <w:name w:val="GPs Definition"/>
    <w:basedOn w:val="Normal"/>
    <w:uiPriority w:val="99"/>
    <w:qFormat w:val="1"/>
    <w:pPr>
      <w:numPr>
        <w:numId w:val="1"/>
      </w:numPr>
      <w:tabs>
        <w:tab w:val="left" w:pos="175"/>
      </w:tabs>
      <w:spacing w:after="120"/>
    </w:pPr>
  </w:style>
  <w:style w:type="paragraph" w:styleId="GPSDefinitionL2" w:customStyle="1">
    <w:name w:val="GPS Definition L2"/>
    <w:basedOn w:val="GPsDefinition"/>
    <w:uiPriority w:val="99"/>
    <w:qFormat w:val="1"/>
    <w:pPr>
      <w:numPr>
        <w:ilvl w:val="1"/>
      </w:numPr>
      <w:ind w:hanging="544"/>
    </w:pPr>
  </w:style>
  <w:style w:type="paragraph" w:styleId="GPSDefinitionL3" w:customStyle="1">
    <w:name w:val="GPS Definition L3"/>
    <w:basedOn w:val="GPSDefinitionL2"/>
    <w:uiPriority w:val="99"/>
    <w:qFormat w:val="1"/>
    <w:pPr>
      <w:numPr>
        <w:ilvl w:val="2"/>
      </w:numPr>
    </w:pPr>
  </w:style>
  <w:style w:type="paragraph" w:styleId="GPSDefinitionL4" w:customStyle="1">
    <w:name w:val="GPS Definition L4"/>
    <w:basedOn w:val="GPSDefinitionL3"/>
    <w:uiPriority w:val="99"/>
    <w:qFormat w:val="1"/>
    <w:pPr>
      <w:numPr>
        <w:ilvl w:val="3"/>
      </w:numPr>
    </w:pPr>
  </w:style>
  <w:style w:type="paragraph" w:styleId="GPSDefinitionTerm" w:customStyle="1">
    <w:name w:val="GPS Definition Term"/>
    <w:basedOn w:val="Normal"/>
    <w:uiPriority w:val="99"/>
    <w:qFormat w:val="1"/>
    <w:pPr>
      <w:spacing w:after="120"/>
      <w:ind w:left="-108"/>
      <w:jc w:val="left"/>
    </w:pPr>
    <w:rPr>
      <w:b w:val="1"/>
    </w:rPr>
  </w:style>
  <w:style w:type="paragraph" w:styleId="GPSL1SCHEDULEHeading" w:customStyle="1">
    <w:name w:val="GPS L1 SCHEDULE Heading"/>
    <w:basedOn w:val="GPSL1CLAUSEHEADING"/>
    <w:link w:val="GPSL1SCHEDULEHeadingChar"/>
    <w:qFormat w:val="1"/>
    <w:pPr>
      <w:ind w:left="360" w:hanging="360"/>
      <w:outlineLvl w:val="9"/>
    </w:pPr>
  </w:style>
  <w:style w:type="paragraph" w:styleId="GPSmacrorestart" w:customStyle="1">
    <w:name w:val="GPS macro restart"/>
    <w:basedOn w:val="Normal"/>
    <w:qFormat w:val="1"/>
    <w:pPr>
      <w:spacing w:after="0"/>
    </w:pPr>
    <w:rPr>
      <w:color w:val="ffffff"/>
      <w:sz w:val="16"/>
      <w:szCs w:val="16"/>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paragraph" w:styleId="GPSL2numberedclause" w:customStyle="1">
    <w:name w:val="GPS L2 numbered clause"/>
    <w:basedOn w:val="Normal"/>
    <w:link w:val="GPSL2numberedclauseChar1"/>
    <w:qFormat w:val="1"/>
    <w:pPr>
      <w:tabs>
        <w:tab w:val="left" w:pos="1134"/>
      </w:tabs>
      <w:overflowPunct w:val="1"/>
      <w:autoSpaceDE w:val="1"/>
      <w:autoSpaceDN w:val="1"/>
      <w:spacing w:after="120" w:before="120"/>
      <w:ind w:left="1134" w:hanging="567"/>
      <w:textAlignment w:val="auto"/>
    </w:pPr>
    <w:rPr>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1CLAUSEHEADINGChar" w:customStyle="1">
    <w:name w:val="GPS L1 CLAUSE HEADING Char"/>
    <w:link w:val="GPSL1CLAUSEHEADING"/>
    <w:rPr>
      <w:rFonts w:ascii="Calibri" w:cs="Arial" w:eastAsia="STZhongsong" w:hAnsi="Calibri"/>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paragraph" w:styleId="Normal1" w:customStyle="1">
    <w:name w:val="Normal1"/>
    <w:pPr>
      <w:widowControl w:val="0"/>
      <w:spacing w:after="80" w:line="240" w:lineRule="auto"/>
    </w:pPr>
    <w:rPr>
      <w:rFonts w:ascii="Calibri" w:cs="Calibri" w:eastAsia="Calibri" w:hAnsi="Calibri"/>
      <w:color w:val="000000"/>
    </w:rPr>
  </w:style>
  <w:style w:type="table" w:styleId="TableGrid">
    <w:name w:val="Table Grid"/>
    <w:basedOn w:val="TableNormal"/>
    <w:uiPriority w:val="59"/>
    <w:pPr>
      <w:spacing w:after="0" w:line="240" w:lineRule="auto"/>
    </w:pPr>
    <w:rPr>
      <w:rFonts w:ascii="Calibri" w:cs="Times New Roman" w:eastAsia="Calibri" w:hAnsi="Calibri"/>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Revision">
    <w:name w:val="Revision"/>
    <w:hidden w:val="1"/>
    <w:uiPriority w:val="99"/>
    <w:semiHidden w:val="1"/>
    <w:rsid w:val="004D49BE"/>
    <w:pPr>
      <w:spacing w:after="0" w:line="240" w:lineRule="auto"/>
    </w:pPr>
    <w:rPr>
      <w:rFonts w:ascii="Calibri" w:cs="Arial" w:eastAsia="Times New Roman" w:hAnsi="Calibri"/>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wEUXLK8XPCQt7KV8g5m6olxP5iA==">AMUW2mVyWgCBnQnhKkK3R/LRbEE1ZBaabe3sBB9JIvYEMyDEgYX2J79dIYBemBCnqGPfxpPqKjPv/QsWj+Yv7klPEnNJp7Y7sJOnN/c5PlR3ftjmfuuH4F4au3JcbOvMNBED1FQVxq0ssfmwKloouaVzCsucXwW60KvN72tQURrQ3N45bZfum+eUTQO39PB0ddFA7z+6eqzs</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2018-07-23T07:42:00Z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